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29" w:rsidRPr="00FB723F" w:rsidRDefault="006E4E29" w:rsidP="00FB7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3F">
        <w:rPr>
          <w:rFonts w:ascii="Times New Roman" w:hAnsi="Times New Roman" w:cs="Times New Roman"/>
          <w:b/>
          <w:sz w:val="24"/>
          <w:szCs w:val="24"/>
        </w:rPr>
        <w:t>ЗАКОН УКРАЇНИ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3F">
        <w:rPr>
          <w:rFonts w:ascii="Times New Roman" w:hAnsi="Times New Roman" w:cs="Times New Roman"/>
          <w:b/>
          <w:sz w:val="24"/>
          <w:szCs w:val="24"/>
        </w:rPr>
        <w:t xml:space="preserve">Про порядок </w:t>
      </w: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іноземній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валюті</w:t>
      </w:r>
      <w:proofErr w:type="spellEnd"/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Закон введено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- 4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1994 року,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4, яка вводиться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1995 року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1994 року N 187/94-ВР)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Законами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1996 року N 184/96-ВР,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1999 року N 1034-XIV,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2000 року N 1559-III,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2003 року N 762-IV,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2004 року N 1454-IV,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2004 року N 1766-IV,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2007 року N 1108-V,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2009 року N 1533-VI,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2010 року N 1814-VI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2010 року N 1814-VI,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2010 року N 1814-VI)</w:t>
      </w:r>
      <w:proofErr w:type="gramEnd"/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(Установлено,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2009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зовнішньоекономічними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угодами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(договорами)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факторингу,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факторингових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об'єднаннях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асоціаціях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виручка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зарахуванню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банках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факторингу,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продовжено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90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виручкою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надходять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факторингу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2008 року N 835-VI)</w:t>
      </w: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29" w:rsidRPr="00FB723F" w:rsidRDefault="006E4E29" w:rsidP="00FB7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 слова "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словами "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центрального органу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; слово "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відмінках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числах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словом "строк"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2007 року N 1108-V)</w:t>
      </w: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Виручка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зарахуванню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банках у строки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заборгованостей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контрактах,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вивізної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вантажної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експортується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), прав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центрального органу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23.06.2009 р. N 1533-VI,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20.01.2010 р. N 1814-VI,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20.01.2010 р. N 1814-VI,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2010 року N 1814-VI)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другу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виключено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10.09.99 р. N 1034-XIV,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друга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15.06.2004 р. N 1766-IV,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виключено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Імпортні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відстрочення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поставки,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відстрочення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авансового платежу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виставлення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векселя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імпортується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центрального органу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lastRenderedPageBreak/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23.06.2009 р. N 1533-VI,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20.01.2010 р. N 1814-VI,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20.01.2010 р. N 1814-VI,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2010 року N 1814-VI)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імпортних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документарного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акредитиву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банком платежу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нерезидента. 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07.05.96 р. N 184/96-ВР)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Строк 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імпортної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увезення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третьою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куплена резидентом на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іжбанківському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валютному ринку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валюта для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перед нерезидентом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використана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продажу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резидентом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строку.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</w:t>
      </w:r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резидентами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неодержаної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виручки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недопоставленого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товару)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перерахованої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курсом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день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нарахованої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неодержаної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виручки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недопоставленого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товару).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судом,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комерційним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арбітражним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Морською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арбітражною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Торгово-промисловій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палаті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заяви резидента про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нерезидента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нерезидентом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експортн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імпортними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контрактами, строки,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зупиняються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пеня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друга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15.05.2003 р. N 762-IV,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позові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позову без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строки,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поновлюються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пеня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зупинено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FB723F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E29"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4E29"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="006E4E29"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9" w:rsidRPr="00FB723F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="006E4E29"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9"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6E4E29" w:rsidRPr="00FB72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6E4E29"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E4E29"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9"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6E4E29"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E29"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15.05.2003 р. N 762-IV)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позову пеня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не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позову до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судом.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четверта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15.05.2003 р. N 762-IV)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інспекції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документальних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стягувати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пеню,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4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07.05.96 р. N 184/96-ВР)</w:t>
      </w: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резидентами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установлених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придбана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валюта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продається</w:t>
      </w:r>
      <w:proofErr w:type="spellEnd"/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міжбанківському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валютному ринку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позитивна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ізниця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такою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операцією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направляється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 Державного бюджету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а негативна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різниця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резидента.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Строки,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продовжені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центральним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резидентами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договорами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кооперації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консигнації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комплексного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поставки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07.05.96 р. N 184/96-ВР,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lastRenderedPageBreak/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віднесення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друга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Центральний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податкову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адміністрацію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новою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третьою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п'яту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четвертою -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шостою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експортно-імпортними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операціями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космічної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космічну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", 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літакобудування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підпадають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літакобудівної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авансових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платежі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агрегатів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систем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космічних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ракетних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космічних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ракет-носіїв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космічних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апаратів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наземного сегмента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космічних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систем 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агрегатів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систем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комплектуючих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переобладнання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ремонту,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модифікації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авіаційної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авіаційних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двигунів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у строк до 500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четвертою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16.03.2000 р. N 1559-III,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четверта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20.01.2010 р. N 1814-VI,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20.01.2010 р. N 1814-VI,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2010 року N 1814-VI)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sz w:val="24"/>
          <w:szCs w:val="24"/>
        </w:rPr>
        <w:lastRenderedPageBreak/>
        <w:t>Якщо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перевищення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статтях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обумовлено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виникненням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зупиняється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на весь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поновлю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п'ятою</w:t>
      </w:r>
      <w:proofErr w:type="spellEnd"/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05.02.2004 р. N 1454-IV)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>ідтвердженням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Торгово-промислової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(органу)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договору (контракту)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до умов договору.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шостою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05.02.2004 р. N 1454-IV,</w:t>
      </w:r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шоста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</w:p>
    <w:p w:rsidR="006E4E29" w:rsidRPr="00FB723F" w:rsidRDefault="006E4E29" w:rsidP="00FB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2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31.05.2007 р. N 1108-V)</w:t>
      </w:r>
      <w:proofErr w:type="gram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23F">
        <w:rPr>
          <w:rFonts w:ascii="Times New Roman" w:hAnsi="Times New Roman" w:cs="Times New Roman"/>
          <w:b/>
          <w:sz w:val="24"/>
          <w:szCs w:val="24"/>
        </w:rPr>
        <w:t>Стаття</w:t>
      </w:r>
      <w:proofErr w:type="spellEnd"/>
      <w:r w:rsidRPr="00FB723F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втратив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Декрет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 лютого 1993 року N 17-93  "Про порядок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FB723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B723F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, 1993 р., N 17, ст. 186, N 49, ст. 462). </w:t>
      </w: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  <w:r w:rsidRPr="00FB723F">
        <w:rPr>
          <w:rFonts w:ascii="Times New Roman" w:hAnsi="Times New Roman" w:cs="Times New Roman"/>
          <w:sz w:val="24"/>
          <w:szCs w:val="24"/>
        </w:rPr>
        <w:tab/>
      </w: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3F" w:rsidRPr="00FB723F" w:rsidRDefault="006E4E29" w:rsidP="00FB723F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ab/>
      </w:r>
      <w:r w:rsidR="00FB7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723F" w:rsidRPr="00FB723F">
        <w:rPr>
          <w:rFonts w:ascii="Times New Roman" w:hAnsi="Times New Roman" w:cs="Times New Roman"/>
          <w:sz w:val="24"/>
          <w:szCs w:val="24"/>
        </w:rPr>
        <w:t xml:space="preserve">Л. КУЧМА </w:t>
      </w: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6E4E29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FB723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FB723F">
        <w:rPr>
          <w:rFonts w:ascii="Times New Roman" w:hAnsi="Times New Roman" w:cs="Times New Roman"/>
          <w:sz w:val="24"/>
          <w:szCs w:val="24"/>
        </w:rPr>
        <w:t xml:space="preserve"> 1994 року </w:t>
      </w:r>
    </w:p>
    <w:p w:rsidR="00CA40FB" w:rsidRPr="00FB723F" w:rsidRDefault="006E4E29" w:rsidP="006E4E29">
      <w:pPr>
        <w:rPr>
          <w:rFonts w:ascii="Times New Roman" w:hAnsi="Times New Roman" w:cs="Times New Roman"/>
          <w:sz w:val="24"/>
          <w:szCs w:val="24"/>
        </w:rPr>
      </w:pPr>
      <w:r w:rsidRPr="00FB723F">
        <w:rPr>
          <w:rFonts w:ascii="Times New Roman" w:hAnsi="Times New Roman" w:cs="Times New Roman"/>
          <w:sz w:val="24"/>
          <w:szCs w:val="24"/>
        </w:rPr>
        <w:t>N 185/94-ВР</w:t>
      </w:r>
    </w:p>
    <w:sectPr w:rsidR="00CA40FB" w:rsidRPr="00FB723F" w:rsidSect="0075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E29"/>
    <w:rsid w:val="006E4E29"/>
    <w:rsid w:val="00757571"/>
    <w:rsid w:val="00BD5446"/>
    <w:rsid w:val="00CA40FB"/>
    <w:rsid w:val="00F920A9"/>
    <w:rsid w:val="00FB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DE6-5061-4D75-98A0-A932446B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</dc:creator>
  <cp:keywords/>
  <dc:description/>
  <cp:lastModifiedBy>ELC</cp:lastModifiedBy>
  <cp:revision>4</cp:revision>
  <dcterms:created xsi:type="dcterms:W3CDTF">2011-11-01T08:54:00Z</dcterms:created>
  <dcterms:modified xsi:type="dcterms:W3CDTF">2011-11-03T07:07:00Z</dcterms:modified>
</cp:coreProperties>
</file>