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13"/>
        <w:gridCol w:w="3742"/>
      </w:tblGrid>
      <w:tr w:rsidR="004C777E" w:rsidRPr="004C777E" w:rsidTr="004C777E">
        <w:trPr>
          <w:tblCellSpacing w:w="0" w:type="dxa"/>
        </w:trPr>
        <w:tc>
          <w:tcPr>
            <w:tcW w:w="12135" w:type="dxa"/>
            <w:gridSpan w:val="2"/>
            <w:shd w:val="clear" w:color="auto" w:fill="FFFFFF"/>
            <w:hideMark/>
          </w:tcPr>
          <w:p w:rsidR="004C777E" w:rsidRPr="004C777E" w:rsidRDefault="004C777E" w:rsidP="004C777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77E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19050" t="0" r="0" b="0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77E" w:rsidRPr="004C777E" w:rsidTr="004C777E">
        <w:trPr>
          <w:tblCellSpacing w:w="0" w:type="dxa"/>
        </w:trPr>
        <w:tc>
          <w:tcPr>
            <w:tcW w:w="12135" w:type="dxa"/>
            <w:gridSpan w:val="2"/>
            <w:shd w:val="clear" w:color="auto" w:fill="FFFFFF"/>
            <w:hideMark/>
          </w:tcPr>
          <w:p w:rsidR="004C777E" w:rsidRPr="004C777E" w:rsidRDefault="004C777E" w:rsidP="004C777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lang w:eastAsia="ru-RU"/>
              </w:rPr>
              <w:t>МІНІСТЕРСТВО ФІНАНСІВ УКРАЇНИ</w:t>
            </w:r>
          </w:p>
        </w:tc>
      </w:tr>
      <w:tr w:rsidR="004C777E" w:rsidRPr="004C777E" w:rsidTr="004C777E">
        <w:trPr>
          <w:tblCellSpacing w:w="0" w:type="dxa"/>
        </w:trPr>
        <w:tc>
          <w:tcPr>
            <w:tcW w:w="12135" w:type="dxa"/>
            <w:gridSpan w:val="2"/>
            <w:shd w:val="clear" w:color="auto" w:fill="FFFFFF"/>
            <w:hideMark/>
          </w:tcPr>
          <w:p w:rsidR="004C777E" w:rsidRPr="004C777E" w:rsidRDefault="004C777E" w:rsidP="004C777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lang w:eastAsia="ru-RU"/>
              </w:rPr>
              <w:t>НАКАЗ</w:t>
            </w:r>
          </w:p>
        </w:tc>
      </w:tr>
      <w:tr w:rsidR="004C777E" w:rsidRPr="004C777E" w:rsidTr="004C777E">
        <w:trPr>
          <w:tblCellSpacing w:w="0" w:type="dxa"/>
        </w:trPr>
        <w:tc>
          <w:tcPr>
            <w:tcW w:w="12135" w:type="dxa"/>
            <w:gridSpan w:val="2"/>
            <w:shd w:val="clear" w:color="auto" w:fill="FFFFFF"/>
            <w:hideMark/>
          </w:tcPr>
          <w:p w:rsidR="004C777E" w:rsidRPr="004C777E" w:rsidRDefault="004C777E" w:rsidP="004C777E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05.12.2012  № 1279</w:t>
            </w:r>
          </w:p>
        </w:tc>
      </w:tr>
      <w:tr w:rsidR="004C777E" w:rsidRPr="004C777E" w:rsidTr="004C777E">
        <w:tblPrEx>
          <w:shd w:val="clear" w:color="auto" w:fill="auto"/>
        </w:tblPrEx>
        <w:trPr>
          <w:tblCellSpacing w:w="0" w:type="dxa"/>
        </w:trPr>
        <w:tc>
          <w:tcPr>
            <w:tcW w:w="3000" w:type="pct"/>
            <w:hideMark/>
          </w:tcPr>
          <w:p w:rsidR="004C777E" w:rsidRPr="004C777E" w:rsidRDefault="004C777E" w:rsidP="004C777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n3"/>
            <w:bookmarkEnd w:id="0"/>
          </w:p>
        </w:tc>
        <w:tc>
          <w:tcPr>
            <w:tcW w:w="2000" w:type="pct"/>
            <w:hideMark/>
          </w:tcPr>
          <w:p w:rsidR="004C777E" w:rsidRPr="004C777E" w:rsidRDefault="004C777E" w:rsidP="004C777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Зареєстровано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 в </w:t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Міністерстві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юстиції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 </w:t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України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26 </w:t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грудня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 2012 р.</w:t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за № 2189/22501</w:t>
            </w:r>
          </w:p>
        </w:tc>
      </w:tr>
    </w:tbl>
    <w:p w:rsidR="004C777E" w:rsidRPr="004C777E" w:rsidRDefault="004C777E" w:rsidP="004C777E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n4"/>
      <w:bookmarkEnd w:id="1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 xml:space="preserve">Про </w:t>
      </w:r>
      <w:proofErr w:type="spellStart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>затвердження</w:t>
      </w:r>
      <w:proofErr w:type="spellEnd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>Змі</w:t>
      </w:r>
      <w:proofErr w:type="gramStart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>н</w:t>
      </w:r>
      <w:proofErr w:type="spellEnd"/>
      <w:proofErr w:type="gramEnd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 xml:space="preserve"> до Порядку </w:t>
      </w:r>
      <w:proofErr w:type="spellStart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>справляння</w:t>
      </w:r>
      <w:proofErr w:type="spellEnd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>митних</w:t>
      </w:r>
      <w:proofErr w:type="spellEnd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>платежів</w:t>
      </w:r>
      <w:proofErr w:type="spellEnd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 xml:space="preserve"> при </w:t>
      </w:r>
      <w:proofErr w:type="spellStart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>ввезенні</w:t>
      </w:r>
      <w:proofErr w:type="spellEnd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 xml:space="preserve"> на </w:t>
      </w:r>
      <w:proofErr w:type="spellStart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>митну</w:t>
      </w:r>
      <w:proofErr w:type="spellEnd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>територію</w:t>
      </w:r>
      <w:proofErr w:type="spellEnd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>товарів</w:t>
      </w:r>
      <w:proofErr w:type="spellEnd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>громадянами</w:t>
      </w:r>
      <w:proofErr w:type="spellEnd"/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n5"/>
      <w:bookmarkEnd w:id="2"/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hyperlink r:id="rId6" w:tgtFrame="_blank" w:history="1"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Закону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України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від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07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червня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2012 року № 4915-VI</w:t>
        </w:r>
      </w:hyperlink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«Про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змін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Податкового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кодексів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щодо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узгодження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їх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окремих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норм» та </w:t>
      </w:r>
      <w:proofErr w:type="spellStart"/>
      <w:proofErr w:type="gram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ідпункту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64 пункту 4 </w:t>
      </w:r>
      <w:hyperlink r:id="rId7" w:tgtFrame="_blank" w:history="1"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Положення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про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Міністерство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фінансів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України</w:t>
        </w:r>
        <w:proofErr w:type="spellEnd"/>
      </w:hyperlink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затвердженого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Указом Президента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08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квітня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2011 року № 446, </w:t>
      </w:r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pacing w:val="30"/>
          <w:sz w:val="24"/>
          <w:lang w:eastAsia="ru-RU"/>
        </w:rPr>
        <w:t>НАКАЗУЮ:</w:t>
      </w:r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n6"/>
      <w:bookmarkEnd w:id="3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Затвердити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Зміни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hyperlink r:id="rId8" w:anchor="n19" w:tgtFrame="_blank" w:history="1"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Порядку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справляння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митних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платежів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при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ввезенні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на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митну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територію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України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товарів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громадянами</w:t>
        </w:r>
        <w:proofErr w:type="spellEnd"/>
      </w:hyperlink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затвердженого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наказом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Міністерства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фінансів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22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травня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2012 року № 581,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зареєстрованого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Міністерстві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юстиції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06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червня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2012 року за № 916/21228,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додаються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n7"/>
      <w:bookmarkEnd w:id="4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Департаменту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податкової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митної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політики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методології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бухгалтерського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</w:t>
      </w:r>
      <w:proofErr w:type="gram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іку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Міністерства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фінансів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Чмерук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М.О.) та Департаменту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платежів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Державної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митної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служби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Зварич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В.В.) в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установленому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порядку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забезпечити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n8"/>
      <w:bookmarkEnd w:id="5"/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цього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наказу на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реєстрацію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Міністерства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юстиції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n9"/>
      <w:bookmarkEnd w:id="6"/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оприлюднення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цього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наказу.</w:t>
      </w:r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" w:name="n10"/>
      <w:bookmarkEnd w:id="7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Цей наказ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набирає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чинності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10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дня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офіційного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опублікування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" w:name="n11"/>
      <w:bookmarkEnd w:id="8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Контроль за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виконанням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цього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наказу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покласти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першого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заступника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Міністра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фінансів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Мярковського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А.І. та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першого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заступника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Голови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Державної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митної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служби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Дороховського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О.М.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29"/>
        <w:gridCol w:w="5426"/>
      </w:tblGrid>
      <w:tr w:rsidR="004C777E" w:rsidRPr="004C777E" w:rsidTr="004C777E">
        <w:trPr>
          <w:tblCellSpacing w:w="0" w:type="dxa"/>
        </w:trPr>
        <w:tc>
          <w:tcPr>
            <w:tcW w:w="2100" w:type="pct"/>
            <w:hideMark/>
          </w:tcPr>
          <w:p w:rsidR="004C777E" w:rsidRPr="004C777E" w:rsidRDefault="004C777E" w:rsidP="004C777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9" w:name="n12"/>
            <w:bookmarkEnd w:id="9"/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Міні</w:t>
            </w:r>
            <w:proofErr w:type="gram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3500" w:type="pct"/>
            <w:hideMark/>
          </w:tcPr>
          <w:p w:rsidR="004C777E" w:rsidRPr="004C777E" w:rsidRDefault="004C777E" w:rsidP="004C777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Ю. Колобов</w:t>
            </w:r>
          </w:p>
        </w:tc>
      </w:tr>
    </w:tbl>
    <w:p w:rsidR="004C777E" w:rsidRPr="004C777E" w:rsidRDefault="004C777E" w:rsidP="004C77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10" w:name="n31"/>
      <w:bookmarkEnd w:id="10"/>
      <w:r w:rsidRPr="004C777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4C777E" w:rsidRPr="004C777E" w:rsidRDefault="004C777E" w:rsidP="004C777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1" w:name="n30"/>
      <w:bookmarkEnd w:id="1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613"/>
        <w:gridCol w:w="3742"/>
      </w:tblGrid>
      <w:tr w:rsidR="004C777E" w:rsidRPr="004C777E" w:rsidTr="004C777E">
        <w:trPr>
          <w:tblCellSpacing w:w="0" w:type="dxa"/>
        </w:trPr>
        <w:tc>
          <w:tcPr>
            <w:tcW w:w="3000" w:type="pct"/>
            <w:hideMark/>
          </w:tcPr>
          <w:p w:rsidR="004C777E" w:rsidRPr="004C777E" w:rsidRDefault="004C777E" w:rsidP="004C777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2" w:name="n13"/>
            <w:bookmarkEnd w:id="12"/>
          </w:p>
        </w:tc>
        <w:tc>
          <w:tcPr>
            <w:tcW w:w="2000" w:type="pct"/>
            <w:hideMark/>
          </w:tcPr>
          <w:p w:rsidR="004C777E" w:rsidRPr="004C777E" w:rsidRDefault="004C777E" w:rsidP="004C777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ЗАТВЕРДЖЕНО</w:t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lastRenderedPageBreak/>
              <w:t xml:space="preserve">Наказ </w:t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Міністерства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фінансів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 </w:t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України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05.12.2012  № 1279</w:t>
            </w:r>
          </w:p>
        </w:tc>
      </w:tr>
      <w:tr w:rsidR="004C777E" w:rsidRPr="004C777E" w:rsidTr="004C777E">
        <w:trPr>
          <w:tblCellSpacing w:w="0" w:type="dxa"/>
        </w:trPr>
        <w:tc>
          <w:tcPr>
            <w:tcW w:w="3000" w:type="pct"/>
            <w:hideMark/>
          </w:tcPr>
          <w:p w:rsidR="004C777E" w:rsidRPr="004C777E" w:rsidRDefault="004C777E" w:rsidP="004C777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3" w:name="n14"/>
            <w:bookmarkEnd w:id="13"/>
          </w:p>
        </w:tc>
        <w:tc>
          <w:tcPr>
            <w:tcW w:w="2000" w:type="pct"/>
            <w:hideMark/>
          </w:tcPr>
          <w:p w:rsidR="004C777E" w:rsidRPr="004C777E" w:rsidRDefault="004C777E" w:rsidP="004C777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Зареєстровано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 в </w:t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Міністерстві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юстиції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 </w:t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України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26 </w:t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грудня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 2012 р.</w:t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за № 2189/22501</w:t>
            </w:r>
          </w:p>
        </w:tc>
      </w:tr>
    </w:tbl>
    <w:p w:rsidR="004C777E" w:rsidRPr="004C777E" w:rsidRDefault="004C777E" w:rsidP="004C777E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4" w:name="n15"/>
      <w:bookmarkEnd w:id="14"/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 xml:space="preserve">ЗМІНИ </w:t>
      </w:r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4C77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 xml:space="preserve">до </w:t>
      </w:r>
      <w:hyperlink r:id="rId9" w:anchor="n19" w:tgtFrame="_blank" w:history="1"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 xml:space="preserve">Порядку </w:t>
        </w:r>
        <w:proofErr w:type="spellStart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>справляння</w:t>
        </w:r>
        <w:proofErr w:type="spellEnd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>митних</w:t>
        </w:r>
        <w:proofErr w:type="spellEnd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>платежів</w:t>
        </w:r>
        <w:proofErr w:type="spellEnd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 xml:space="preserve"> при </w:t>
        </w:r>
        <w:proofErr w:type="spellStart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>ввезенні</w:t>
        </w:r>
        <w:proofErr w:type="spellEnd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 xml:space="preserve"> на </w:t>
        </w:r>
        <w:proofErr w:type="spellStart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>митну</w:t>
        </w:r>
        <w:proofErr w:type="spellEnd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>територію</w:t>
        </w:r>
        <w:proofErr w:type="spellEnd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>України</w:t>
        </w:r>
        <w:proofErr w:type="spellEnd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>товарів</w:t>
        </w:r>
        <w:proofErr w:type="spellEnd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lang w:eastAsia="ru-RU"/>
          </w:rPr>
          <w:t>громадянами</w:t>
        </w:r>
        <w:proofErr w:type="spellEnd"/>
      </w:hyperlink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5" w:name="n16"/>
      <w:bookmarkEnd w:id="15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 </w:t>
      </w:r>
      <w:hyperlink r:id="rId10" w:anchor="n44" w:tgtFrame="_blank" w:history="1"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розділі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ІІ</w:t>
        </w:r>
      </w:hyperlink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6" w:name="n17"/>
      <w:bookmarkEnd w:id="16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</w:t>
      </w:r>
      <w:hyperlink r:id="rId11" w:anchor="n51" w:tgtFrame="_blank" w:history="1">
        <w:proofErr w:type="spellStart"/>
        <w:proofErr w:type="gram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</w:t>
        </w:r>
        <w:proofErr w:type="gram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ідпунктах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«а»</w:t>
        </w:r>
      </w:hyperlink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2" w:anchor="n52" w:tgtFrame="_blank" w:history="1"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«б» пункту 2.2</w:t>
        </w:r>
      </w:hyperlink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слова «та/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сумарна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вага»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замінити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словами «та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сумарна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вага»;</w:t>
      </w:r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7" w:name="n18"/>
      <w:bookmarkEnd w:id="17"/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доповнити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3" w:anchor="n62" w:tgtFrame="_blank" w:history="1"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2.7</w:t>
        </w:r>
      </w:hyperlink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ісля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цифр «8702, 8703» цифрами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словами «8704 (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загальною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масою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3,5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тонни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)».</w:t>
      </w:r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8" w:name="n19"/>
      <w:bookmarkEnd w:id="18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hyperlink r:id="rId14" w:anchor="n64" w:tgtFrame="_blank" w:history="1"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Розділ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ІІІ</w:t>
        </w:r>
      </w:hyperlink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викласти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такій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редакції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9" w:name="n20"/>
      <w:bookmarkEnd w:id="19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«ІІІ.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Особливості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справляння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платежів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тимчасовому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ввезенні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територію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товарі</w:t>
      </w:r>
      <w:proofErr w:type="gram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spellEnd"/>
      <w:proofErr w:type="gram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засобів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особистого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користування</w:t>
      </w:r>
      <w:proofErr w:type="spellEnd"/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0" w:name="n21"/>
      <w:bookmarkEnd w:id="20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</w:t>
      </w:r>
      <w:proofErr w:type="gram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тимчасовому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ввезенні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територію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товарів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переміщуються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ручній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поклажі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та/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супроводжуваному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багажі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сумарна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фактурна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вартість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перевищує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еквівалент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1000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євро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ввозяться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пропуску через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державний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кордон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відкриті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повітряного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сполучення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та 500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євро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сумарна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вага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перевищує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50 кг, через</w:t>
      </w:r>
      <w:proofErr w:type="gram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інші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ніж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відкриті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повітряного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сполучення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пропуску через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державний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кордон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громадянами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вноситься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грошова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застава в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розмі</w:t>
      </w:r>
      <w:proofErr w:type="gram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платежів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підлягають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сплаті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ввезенні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таких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товарів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територію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метою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вільного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обігу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1" w:name="n22"/>
      <w:bookmarkEnd w:id="21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При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тимчасовому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ввезенні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засобів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особистого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користування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територію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громадянами-нерезидентами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термін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перевищує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одного року за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умови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реєстрації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таких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засобів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уповноважених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органах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іноземних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держав,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платежі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нараховуються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грошова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застава не вноситься.</w:t>
      </w:r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2" w:name="n23"/>
      <w:bookmarkEnd w:id="22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При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тимчасовому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ввезенні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громадянами-резидентами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перебувають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тимчасовому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консульському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</w:t>
      </w:r>
      <w:proofErr w:type="gram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іку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відповідній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консульській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кордоном, на строк,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перевищує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60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протягом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одного календарного року, транспортного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засобу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особистого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користування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відповідає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умовам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установленим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5" w:anchor="n904" w:tgtFrame="_blank" w:history="1"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абзацом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четвертим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частини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третьої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статті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380 Кодексу</w:t>
        </w:r>
      </w:hyperlink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платежі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нараховуються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3" w:name="n24"/>
      <w:bookmarkEnd w:id="23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 При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тимчасовому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ввезенні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громадянами-резидентами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засобів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особистого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користування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класифікуються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товарними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позиціями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8702, 8703, 8704 (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загальною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масою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3,5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тонни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8711, 8716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згідно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6" w:tgtFrame="_blank" w:history="1"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УКТ ЗЕД</w:t>
        </w:r>
      </w:hyperlink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громадянами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сплачуються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платежі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ідлягають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сплаті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імпорті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таких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засобів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4" w:name="n25"/>
      <w:bookmarkEnd w:id="24"/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Тимчасове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ввезення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громадянами-резидентами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територію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інших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засобів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особистого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користування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дозволяється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строк до одного року </w:t>
      </w:r>
      <w:proofErr w:type="spellStart"/>
      <w:proofErr w:type="gram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письмове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зобов'язання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їх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зворотне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вивезення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умови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письмового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декларування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порядку,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передбаченому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законодавством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громадян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застосуванням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них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заходів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гарантування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передбачених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7" w:anchor="n4" w:tgtFrame="_blank" w:history="1"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розділом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X Кодексу</w:t>
        </w:r>
      </w:hyperlink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5" w:name="n26"/>
      <w:bookmarkEnd w:id="25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3.5.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Унесення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грошової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застави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здійснюється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використанням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бланка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квитанції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8" w:tgtFrame="_blank" w:history="1"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МД-1</w:t>
        </w:r>
      </w:hyperlink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6" w:name="n27"/>
      <w:bookmarkEnd w:id="26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hyperlink r:id="rId19" w:anchor="n75" w:tgtFrame="_blank" w:history="1"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Пункт 4.1 </w:t>
        </w:r>
        <w:proofErr w:type="spellStart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розділу</w:t>
        </w:r>
        <w:proofErr w:type="spellEnd"/>
        <w:r w:rsidRPr="004C7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IV</w:t>
        </w:r>
      </w:hyperlink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викласти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такій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редакції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C777E" w:rsidRPr="004C777E" w:rsidRDefault="004C777E" w:rsidP="004C777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7" w:name="n28"/>
      <w:bookmarkEnd w:id="27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«4.1. </w:t>
      </w:r>
      <w:proofErr w:type="gram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ввезенні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товарів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метою транзиту,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переміщуються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ручній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поклажі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та/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супроводжуваному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багажі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сумарна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фактурна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вартість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перевищує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еквівалент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1000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євро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ввозяться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пропуску через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державний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кордон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відкриті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повітряного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сполучення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та 500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євро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сумарна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вага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перевищує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50 кг, через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інші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ніж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ідкриті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повітряного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сполучення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пропуску через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державний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кордон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громадянами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вноситься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грошова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застава в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розмі</w:t>
      </w:r>
      <w:proofErr w:type="gram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митних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платежів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підлягають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сплаті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ввезенні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таких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товарів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територію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метою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вільного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обігу</w:t>
      </w:r>
      <w:proofErr w:type="spellEnd"/>
      <w:r w:rsidRPr="004C7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29"/>
        <w:gridCol w:w="5426"/>
      </w:tblGrid>
      <w:tr w:rsidR="004C777E" w:rsidRPr="004C777E" w:rsidTr="004C777E">
        <w:trPr>
          <w:tblCellSpacing w:w="0" w:type="dxa"/>
        </w:trPr>
        <w:tc>
          <w:tcPr>
            <w:tcW w:w="2100" w:type="pct"/>
            <w:hideMark/>
          </w:tcPr>
          <w:p w:rsidR="004C777E" w:rsidRPr="004C777E" w:rsidRDefault="004C777E" w:rsidP="004C777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8" w:name="n29"/>
            <w:bookmarkEnd w:id="28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Директор Департаменту</w:t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податкової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, </w:t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митної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 </w:t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політики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та </w:t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методології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бухгалтерського</w:t>
            </w:r>
            <w:proofErr w:type="spellEnd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 </w:t>
            </w:r>
            <w:proofErr w:type="spellStart"/>
            <w:proofErr w:type="gram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обл</w:t>
            </w:r>
            <w:proofErr w:type="gramEnd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іку</w:t>
            </w:r>
            <w:proofErr w:type="spellEnd"/>
          </w:p>
        </w:tc>
        <w:tc>
          <w:tcPr>
            <w:tcW w:w="3500" w:type="pct"/>
            <w:hideMark/>
          </w:tcPr>
          <w:p w:rsidR="004C777E" w:rsidRPr="004C777E" w:rsidRDefault="004C777E" w:rsidP="004C777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C7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М.О. </w:t>
            </w:r>
            <w:proofErr w:type="spellStart"/>
            <w:r w:rsidRPr="004C77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>Чмерук</w:t>
            </w:r>
            <w:proofErr w:type="spellEnd"/>
          </w:p>
        </w:tc>
      </w:tr>
    </w:tbl>
    <w:p w:rsidR="004C777E" w:rsidRPr="004C777E" w:rsidRDefault="004C777E" w:rsidP="004C77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519BA" w:rsidRPr="004C777E" w:rsidRDefault="000519BA">
      <w:pPr>
        <w:rPr>
          <w:color w:val="000000" w:themeColor="text1"/>
        </w:rPr>
      </w:pPr>
    </w:p>
    <w:sectPr w:rsidR="000519BA" w:rsidRPr="004C777E" w:rsidSect="00051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6491B"/>
    <w:multiLevelType w:val="multilevel"/>
    <w:tmpl w:val="B5C2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77E"/>
    <w:rsid w:val="000519BA"/>
    <w:rsid w:val="004C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A"/>
  </w:style>
  <w:style w:type="paragraph" w:styleId="2">
    <w:name w:val="heading 2"/>
    <w:basedOn w:val="a"/>
    <w:link w:val="20"/>
    <w:uiPriority w:val="9"/>
    <w:qFormat/>
    <w:rsid w:val="004C7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77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C777E"/>
    <w:rPr>
      <w:color w:val="0000FF"/>
      <w:u w:val="single"/>
    </w:rPr>
  </w:style>
  <w:style w:type="paragraph" w:customStyle="1" w:styleId="rvps1">
    <w:name w:val="rvps1"/>
    <w:basedOn w:val="a"/>
    <w:rsid w:val="004C777E"/>
    <w:pPr>
      <w:spacing w:before="1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C777E"/>
    <w:pPr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4C777E"/>
    <w:pPr>
      <w:spacing w:before="30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4C777E"/>
    <w:pPr>
      <w:spacing w:before="300" w:after="450" w:line="240" w:lineRule="auto"/>
      <w:ind w:left="450" w:right="4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4C777E"/>
    <w:pPr>
      <w:spacing w:before="150" w:after="150" w:line="240" w:lineRule="auto"/>
      <w:ind w:left="450" w:right="4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4C777E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4C777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5">
    <w:name w:val="rvps15"/>
    <w:basedOn w:val="a"/>
    <w:rsid w:val="004C777E"/>
    <w:pPr>
      <w:spacing w:before="300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C777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9">
    <w:name w:val="rvts9"/>
    <w:basedOn w:val="a0"/>
    <w:rsid w:val="004C777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15">
    <w:name w:val="rvts15"/>
    <w:basedOn w:val="a0"/>
    <w:rsid w:val="004C777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rvts23">
    <w:name w:val="rvts23"/>
    <w:basedOn w:val="a0"/>
    <w:rsid w:val="004C777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rvts44">
    <w:name w:val="rvts44"/>
    <w:basedOn w:val="a0"/>
    <w:rsid w:val="004C777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52">
    <w:name w:val="rvts52"/>
    <w:basedOn w:val="a0"/>
    <w:rsid w:val="004C777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pacing w:val="30"/>
      <w:sz w:val="24"/>
      <w:szCs w:val="24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4C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5675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862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7589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68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z0916-12/paran19" TargetMode="External"/><Relationship Id="rId13" Type="http://schemas.openxmlformats.org/officeDocument/2006/relationships/hyperlink" Target="http://zakon4.rada.gov.ua/laws/show/z0916-12/paran62" TargetMode="External"/><Relationship Id="rId18" Type="http://schemas.openxmlformats.org/officeDocument/2006/relationships/hyperlink" Target="http://zakon4.rada.gov.ua/laws/show/za066-0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zakon4.rada.gov.ua/laws/show/446/2011" TargetMode="External"/><Relationship Id="rId12" Type="http://schemas.openxmlformats.org/officeDocument/2006/relationships/hyperlink" Target="http://zakon4.rada.gov.ua/laws/show/z0916-12/paran52" TargetMode="External"/><Relationship Id="rId17" Type="http://schemas.openxmlformats.org/officeDocument/2006/relationships/hyperlink" Target="http://zakon4.rada.gov.ua/laws/show/4495%D0%B3-17/paran4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4.rada.gov.ua/laws/show/2371%D0%B3-1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4915-17" TargetMode="External"/><Relationship Id="rId11" Type="http://schemas.openxmlformats.org/officeDocument/2006/relationships/hyperlink" Target="http://zakon4.rada.gov.ua/laws/show/z0916-12/paran51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zakon4.rada.gov.ua/laws/show/4495%D0%B3-17/paran904" TargetMode="External"/><Relationship Id="rId10" Type="http://schemas.openxmlformats.org/officeDocument/2006/relationships/hyperlink" Target="http://zakon4.rada.gov.ua/laws/show/z0916-12/paran44" TargetMode="External"/><Relationship Id="rId19" Type="http://schemas.openxmlformats.org/officeDocument/2006/relationships/hyperlink" Target="http://zakon4.rada.gov.ua/laws/show/z0916-12/paran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4.rada.gov.ua/laws/show/z0916-12/paran19" TargetMode="External"/><Relationship Id="rId14" Type="http://schemas.openxmlformats.org/officeDocument/2006/relationships/hyperlink" Target="http://zakon4.rada.gov.ua/laws/show/z0916-12/paran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5346</Characters>
  <Application>Microsoft Office Word</Application>
  <DocSecurity>0</DocSecurity>
  <Lines>44</Lines>
  <Paragraphs>12</Paragraphs>
  <ScaleCrop>false</ScaleCrop>
  <Company>Grizli777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2013-02-06T10:04:00Z</dcterms:created>
  <dcterms:modified xsi:type="dcterms:W3CDTF">2013-02-06T10:05:00Z</dcterms:modified>
</cp:coreProperties>
</file>